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CF14D" w14:textId="72EA0591" w:rsidR="008B1B7D" w:rsidRDefault="008B1B7D" w:rsidP="008B1B7D">
      <w:pPr>
        <w:pBdr>
          <w:bottom w:val="single" w:sz="4" w:space="1" w:color="auto"/>
        </w:pBdr>
        <w:spacing w:after="0" w:line="240" w:lineRule="auto"/>
        <w:rPr>
          <w:rFonts w:cs="Arial"/>
          <w:b/>
          <w:sz w:val="32"/>
          <w:szCs w:val="28"/>
        </w:rPr>
      </w:pPr>
    </w:p>
    <w:p w14:paraId="6541FE12" w14:textId="2CD46FE8" w:rsidR="00C8287D" w:rsidRDefault="00C8287D" w:rsidP="008B1B7D">
      <w:pPr>
        <w:pBdr>
          <w:bottom w:val="single" w:sz="4" w:space="1" w:color="auto"/>
        </w:pBdr>
        <w:spacing w:after="0" w:line="240" w:lineRule="auto"/>
        <w:rPr>
          <w:rFonts w:cs="Arial"/>
          <w:b/>
          <w:sz w:val="28"/>
          <w:szCs w:val="28"/>
        </w:rPr>
      </w:pPr>
    </w:p>
    <w:p w14:paraId="2FBCF658" w14:textId="231C847B" w:rsidR="00815FF0" w:rsidRPr="001A1CA7" w:rsidRDefault="00007B81" w:rsidP="008B1B7D">
      <w:pPr>
        <w:pBdr>
          <w:bottom w:val="single" w:sz="4" w:space="1" w:color="auto"/>
        </w:pBdr>
        <w:spacing w:after="0" w:line="240" w:lineRule="auto"/>
        <w:rPr>
          <w:b/>
          <w:sz w:val="24"/>
          <w:szCs w:val="24"/>
        </w:rPr>
      </w:pPr>
      <w:r w:rsidRPr="001A1CA7">
        <w:rPr>
          <w:b/>
          <w:noProof/>
          <w:sz w:val="24"/>
          <w:szCs w:val="24"/>
        </w:rPr>
        <w:t>Juliella Hankinson</w:t>
      </w:r>
    </w:p>
    <w:p w14:paraId="7F4366D5" w14:textId="1202AE5D" w:rsidR="00AA514C" w:rsidRPr="001A1CA7" w:rsidRDefault="00007B81" w:rsidP="008B1B7D">
      <w:pPr>
        <w:spacing w:after="0" w:line="240" w:lineRule="auto"/>
        <w:ind w:firstLine="720"/>
        <w:jc w:val="right"/>
        <w:rPr>
          <w:rFonts w:cs="Arial"/>
        </w:rPr>
      </w:pPr>
      <w:r w:rsidRPr="001A1CA7">
        <w:rPr>
          <w:rFonts w:cs="Arial"/>
        </w:rPr>
        <w:t>Hankinson Home Academy-Bethany Hankinson, Parent/Teacher</w:t>
      </w:r>
    </w:p>
    <w:p w14:paraId="57CCE38D" w14:textId="7556D6BD" w:rsidR="008B1B7D" w:rsidRPr="001A1CA7" w:rsidRDefault="008B1B7D" w:rsidP="008B1B7D">
      <w:pPr>
        <w:spacing w:after="0" w:line="240" w:lineRule="auto"/>
        <w:ind w:firstLine="720"/>
        <w:jc w:val="right"/>
        <w:rPr>
          <w:rFonts w:cs="Arial"/>
          <w:szCs w:val="20"/>
        </w:rPr>
      </w:pPr>
    </w:p>
    <w:p w14:paraId="6A4280E5" w14:textId="36561B3F" w:rsidR="00815FF0" w:rsidRPr="001A1CA7" w:rsidRDefault="00007B81" w:rsidP="00007B81">
      <w:pPr>
        <w:spacing w:after="0" w:line="240" w:lineRule="auto"/>
        <w:rPr>
          <w:rFonts w:cs="Arial"/>
          <w:b/>
          <w:sz w:val="24"/>
        </w:rPr>
      </w:pPr>
      <w:r w:rsidRPr="001A1CA7">
        <w:rPr>
          <w:rFonts w:cs="Arial"/>
          <w:b/>
        </w:rPr>
        <w:t>Salt in the Water? A Study of Variables Effecting Chloride Levels in Tributaries from Excessive use of Road Salt</w:t>
      </w:r>
    </w:p>
    <w:p w14:paraId="22CBFE10" w14:textId="0C01AEAB" w:rsidR="00253AFC" w:rsidRPr="001A1CA7" w:rsidRDefault="00007B81" w:rsidP="008B1B7D">
      <w:pPr>
        <w:spacing w:after="0" w:line="240" w:lineRule="auto"/>
      </w:pPr>
      <w:r w:rsidRPr="001A1CA7">
        <w:t xml:space="preserve">After road salt is applied, excess is washed off roads into soil and nearby waterways. The objective of this study is to determine the effect of road salt on Wolf Run, a tributary of Kokosing River in Knox County, Ohio. An initial water quality analysis was completed. From 9/30/2021-2/28/2022, water samples testing chloride levels using </w:t>
      </w:r>
      <w:proofErr w:type="spellStart"/>
      <w:r w:rsidRPr="001A1CA7">
        <w:t>Quantab</w:t>
      </w:r>
      <w:proofErr w:type="spellEnd"/>
      <w:r w:rsidRPr="001A1CA7">
        <w:t xml:space="preserve"> Chloride test strips were drawn. Variables measured were width, depth, precipitation amounts, </w:t>
      </w:r>
      <w:proofErr w:type="gramStart"/>
      <w:r w:rsidRPr="001A1CA7">
        <w:t>water</w:t>
      </w:r>
      <w:proofErr w:type="gramEnd"/>
      <w:r w:rsidRPr="001A1CA7">
        <w:t xml:space="preserve"> and air temperature. Observable macroinvertebrates, flora, wildlife, and changes in the stream and the riparian zone were documented. Results indicate </w:t>
      </w:r>
      <w:proofErr w:type="gramStart"/>
      <w:r w:rsidRPr="001A1CA7">
        <w:t>a</w:t>
      </w:r>
      <w:proofErr w:type="gramEnd"/>
      <w:r w:rsidRPr="001A1CA7">
        <w:t xml:space="preserve"> correspondence to lower levels of chloride with higher water levels and vice versa. When precipitation levels went from 0.86 to 3.5 inches the chloride went from 1.8 to 1.6 </w:t>
      </w:r>
      <w:proofErr w:type="spellStart"/>
      <w:r w:rsidRPr="001A1CA7">
        <w:t>quantab</w:t>
      </w:r>
      <w:proofErr w:type="spellEnd"/>
      <w:r w:rsidRPr="001A1CA7">
        <w:t xml:space="preserve"> units. Without further road salting, chloride levels decrease. When snow accumulation went from 1.5 to no accumulation for three days, salt levels continued at roughly 1.6 </w:t>
      </w:r>
      <w:proofErr w:type="spellStart"/>
      <w:r w:rsidRPr="001A1CA7">
        <w:t>quantab</w:t>
      </w:r>
      <w:proofErr w:type="spellEnd"/>
      <w:r w:rsidRPr="001A1CA7">
        <w:t xml:space="preserve"> units. Without snow accumulation, chloride levels dropped to 1.2 </w:t>
      </w:r>
      <w:proofErr w:type="spellStart"/>
      <w:r w:rsidRPr="001A1CA7">
        <w:t>quantab</w:t>
      </w:r>
      <w:proofErr w:type="spellEnd"/>
      <w:r w:rsidRPr="001A1CA7">
        <w:t xml:space="preserve"> units. Wolf Run had higher chloride levels than the Kokosing River. This study indicates </w:t>
      </w:r>
      <w:proofErr w:type="gramStart"/>
      <w:r w:rsidRPr="001A1CA7">
        <w:t>waterways;</w:t>
      </w:r>
      <w:proofErr w:type="gramEnd"/>
      <w:r w:rsidRPr="001A1CA7">
        <w:t xml:space="preserve"> such as tributaries, with lower levels of water may be the first to exhibit signs that the overall water system is in danger of becoming overloaded with salt.</w:t>
      </w:r>
    </w:p>
    <w:p w14:paraId="06056F7A" w14:textId="6411E0A4" w:rsidR="00007B81" w:rsidRPr="001A1CA7" w:rsidRDefault="00007B81" w:rsidP="008B1B7D">
      <w:pPr>
        <w:spacing w:after="0" w:line="240" w:lineRule="auto"/>
        <w:rPr>
          <w:sz w:val="18"/>
          <w:szCs w:val="18"/>
        </w:rPr>
      </w:pPr>
    </w:p>
    <w:p w14:paraId="1CE3ED7D" w14:textId="6F1A9C30" w:rsidR="00A75366" w:rsidRPr="001A1CA7" w:rsidRDefault="00A75366" w:rsidP="008B1B7D">
      <w:pPr>
        <w:spacing w:after="0" w:line="240" w:lineRule="auto"/>
        <w:rPr>
          <w:sz w:val="18"/>
          <w:szCs w:val="18"/>
        </w:rPr>
      </w:pPr>
    </w:p>
    <w:p w14:paraId="467C9129" w14:textId="58D9A05B" w:rsidR="000A1417" w:rsidRPr="001A1CA7" w:rsidRDefault="00E37AE1" w:rsidP="008B1B7D">
      <w:pPr>
        <w:pBdr>
          <w:bottom w:val="single" w:sz="4" w:space="1" w:color="auto"/>
        </w:pBdr>
        <w:spacing w:after="0" w:line="240" w:lineRule="auto"/>
        <w:rPr>
          <w:b/>
          <w:sz w:val="24"/>
          <w:szCs w:val="24"/>
        </w:rPr>
      </w:pPr>
      <w:r w:rsidRPr="001A1CA7">
        <w:rPr>
          <w:b/>
          <w:noProof/>
          <w:sz w:val="24"/>
          <w:szCs w:val="24"/>
        </w:rPr>
        <w:drawing>
          <wp:anchor distT="0" distB="0" distL="114300" distR="114300" simplePos="0" relativeHeight="251645440" behindDoc="1" locked="0" layoutInCell="1" allowOverlap="1" wp14:anchorId="65D4435B" wp14:editId="33E0EAF0">
            <wp:simplePos x="0" y="0"/>
            <wp:positionH relativeFrom="margin">
              <wp:align>right</wp:align>
            </wp:positionH>
            <wp:positionV relativeFrom="paragraph">
              <wp:posOffset>3810</wp:posOffset>
            </wp:positionV>
            <wp:extent cx="832485" cy="541020"/>
            <wp:effectExtent l="0" t="0" r="5715" b="0"/>
            <wp:wrapTight wrapText="bothSides">
              <wp:wrapPolygon edited="0">
                <wp:start x="5437" y="0"/>
                <wp:lineTo x="0" y="3803"/>
                <wp:lineTo x="0" y="17493"/>
                <wp:lineTo x="5931" y="20535"/>
                <wp:lineTo x="15323" y="20535"/>
                <wp:lineTo x="21254" y="17493"/>
                <wp:lineTo x="21254" y="2282"/>
                <wp:lineTo x="15323" y="0"/>
                <wp:lineTo x="543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cslogo.png"/>
                    <pic:cNvPicPr/>
                  </pic:nvPicPr>
                  <pic:blipFill>
                    <a:blip r:embed="rId6">
                      <a:extLst>
                        <a:ext uri="{28A0092B-C50C-407E-A947-70E740481C1C}">
                          <a14:useLocalDpi xmlns:a14="http://schemas.microsoft.com/office/drawing/2010/main" val="0"/>
                        </a:ext>
                      </a:extLst>
                    </a:blip>
                    <a:stretch>
                      <a:fillRect/>
                    </a:stretch>
                  </pic:blipFill>
                  <pic:spPr>
                    <a:xfrm>
                      <a:off x="0" y="0"/>
                      <a:ext cx="832485" cy="541020"/>
                    </a:xfrm>
                    <a:prstGeom prst="rect">
                      <a:avLst/>
                    </a:prstGeom>
                  </pic:spPr>
                </pic:pic>
              </a:graphicData>
            </a:graphic>
            <wp14:sizeRelH relativeFrom="page">
              <wp14:pctWidth>0</wp14:pctWidth>
            </wp14:sizeRelH>
            <wp14:sizeRelV relativeFrom="page">
              <wp14:pctHeight>0</wp14:pctHeight>
            </wp14:sizeRelV>
          </wp:anchor>
        </w:drawing>
      </w:r>
      <w:r w:rsidRPr="001A1CA7">
        <w:rPr>
          <w:b/>
          <w:noProof/>
          <w:sz w:val="24"/>
          <w:szCs w:val="24"/>
        </w:rPr>
        <w:t>Isabella Bair, Cassidy Loos, Sophia Riker</w:t>
      </w:r>
    </w:p>
    <w:p w14:paraId="33D9AD29" w14:textId="2C1DAD37" w:rsidR="000A1417" w:rsidRPr="001A1CA7" w:rsidRDefault="00E37AE1" w:rsidP="008B1B7D">
      <w:pPr>
        <w:spacing w:after="0" w:line="240" w:lineRule="auto"/>
        <w:jc w:val="right"/>
      </w:pPr>
      <w:r w:rsidRPr="001A1CA7">
        <w:t>New Philadelphia High School, Kip Brady, Teacher</w:t>
      </w:r>
    </w:p>
    <w:p w14:paraId="40D4BA83" w14:textId="6E3CCE45" w:rsidR="00BE12E7" w:rsidRPr="001A1CA7" w:rsidRDefault="00BE12E7" w:rsidP="008B1B7D">
      <w:pPr>
        <w:spacing w:after="0" w:line="240" w:lineRule="auto"/>
        <w:jc w:val="right"/>
      </w:pPr>
    </w:p>
    <w:p w14:paraId="3C040B68" w14:textId="05234F8E" w:rsidR="000A1417" w:rsidRPr="001A1CA7" w:rsidRDefault="00E37AE1" w:rsidP="008B1B7D">
      <w:pPr>
        <w:spacing w:after="0" w:line="240" w:lineRule="auto"/>
        <w:rPr>
          <w:b/>
        </w:rPr>
      </w:pPr>
      <w:r w:rsidRPr="001A1CA7">
        <w:rPr>
          <w:b/>
        </w:rPr>
        <w:t>Reclamation of "Ohio's Hidden Mine" and its impact on aquatic ecosystems</w:t>
      </w:r>
    </w:p>
    <w:p w14:paraId="02366A21" w14:textId="2A5CB395" w:rsidR="00253AFC" w:rsidRPr="001A1CA7" w:rsidRDefault="00E37AE1" w:rsidP="008B1B7D">
      <w:pPr>
        <w:pBdr>
          <w:bottom w:val="single" w:sz="4" w:space="1" w:color="auto"/>
        </w:pBdr>
        <w:spacing w:after="0" w:line="240" w:lineRule="auto"/>
      </w:pPr>
      <w:r w:rsidRPr="001A1CA7">
        <w:t xml:space="preserve">The </w:t>
      </w:r>
      <w:proofErr w:type="spellStart"/>
      <w:r w:rsidRPr="001A1CA7">
        <w:t>Dessecker</w:t>
      </w:r>
      <w:proofErr w:type="spellEnd"/>
      <w:r w:rsidRPr="001A1CA7">
        <w:t xml:space="preserve"> Mine Complex, known as "Ohio's Hidden Mine", is a small watershed in Tuscarawas County, Ohio that was mined for coal from 1947-1995.  Extensive, unregulated mining activity resulted in severely degraded water quality downstream of the complex.  We examined changes to the ecology of a headwater stream that drains from the mine complex following completion of a reclamation project in August 2018.  Between 2018 and 2021, macroinvertebrate similarity to a nearby unmined reference stream improved by a factor of 4, the abundance of Northern Dusky Salamanders increased by a factor of 6, and the ratio of the decay rate of White Oak leaf litter between the unmined reference and reclaimed streams decreased from 10 to 5.  Although measures of stream water quality improved over the course of the study, leaf decay rate, salamander diversity, and macroinvertebrate diversity remained significantly different from the unmined reference stream.  Taken together, these results suggest that, although the reclamation project has mitigated some effects of historic mining activities, key aspects of ecological structure and function remain in an impaired state relative to streams without mining influence.</w:t>
      </w:r>
      <w:r w:rsidR="00700FEB" w:rsidRPr="001A1CA7">
        <w:t xml:space="preserve"> </w:t>
      </w:r>
    </w:p>
    <w:p w14:paraId="7C922331" w14:textId="2A16DAC8" w:rsidR="00700FEB" w:rsidRPr="001A1CA7" w:rsidRDefault="00700FEB" w:rsidP="008B1B7D">
      <w:pPr>
        <w:pBdr>
          <w:bottom w:val="single" w:sz="4" w:space="1" w:color="auto"/>
        </w:pBdr>
        <w:spacing w:after="0" w:line="240" w:lineRule="auto"/>
        <w:rPr>
          <w:sz w:val="18"/>
          <w:szCs w:val="18"/>
        </w:rPr>
      </w:pPr>
    </w:p>
    <w:p w14:paraId="566695AA" w14:textId="0F6F8657" w:rsidR="00524628" w:rsidRPr="001A1CA7" w:rsidRDefault="00A75366" w:rsidP="00A75366">
      <w:pPr>
        <w:pBdr>
          <w:bottom w:val="single" w:sz="4" w:space="1" w:color="auto"/>
        </w:pBdr>
        <w:spacing w:after="0" w:line="240" w:lineRule="auto"/>
        <w:rPr>
          <w:b/>
          <w:sz w:val="24"/>
          <w:szCs w:val="24"/>
        </w:rPr>
      </w:pPr>
      <w:r w:rsidRPr="001A1CA7">
        <w:rPr>
          <w:b/>
          <w:noProof/>
          <w:sz w:val="24"/>
          <w:szCs w:val="24"/>
        </w:rPr>
        <w:drawing>
          <wp:anchor distT="0" distB="0" distL="114300" distR="114300" simplePos="0" relativeHeight="251658240" behindDoc="1" locked="0" layoutInCell="1" allowOverlap="1" wp14:anchorId="2CDC4A8B" wp14:editId="093D37A0">
            <wp:simplePos x="0" y="0"/>
            <wp:positionH relativeFrom="margin">
              <wp:align>right</wp:align>
            </wp:positionH>
            <wp:positionV relativeFrom="paragraph">
              <wp:posOffset>28575</wp:posOffset>
            </wp:positionV>
            <wp:extent cx="947420" cy="889000"/>
            <wp:effectExtent l="0" t="0" r="5080" b="6350"/>
            <wp:wrapTight wrapText="bothSides">
              <wp:wrapPolygon edited="0">
                <wp:start x="0" y="0"/>
                <wp:lineTo x="0" y="21291"/>
                <wp:lineTo x="21282" y="21291"/>
                <wp:lineTo x="2128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7420" cy="88900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Pr="001A1CA7">
        <w:rPr>
          <w:b/>
          <w:sz w:val="24"/>
          <w:szCs w:val="24"/>
        </w:rPr>
        <w:t>Nykaih</w:t>
      </w:r>
      <w:proofErr w:type="spellEnd"/>
      <w:r w:rsidRPr="001A1CA7">
        <w:rPr>
          <w:b/>
          <w:sz w:val="24"/>
          <w:szCs w:val="24"/>
        </w:rPr>
        <w:t xml:space="preserve"> Gay</w:t>
      </w:r>
      <w:r w:rsidR="00030F02" w:rsidRPr="001A1CA7">
        <w:rPr>
          <w:b/>
          <w:sz w:val="24"/>
          <w:szCs w:val="24"/>
        </w:rPr>
        <w:tab/>
      </w:r>
    </w:p>
    <w:p w14:paraId="38887040" w14:textId="58FCACD3" w:rsidR="00524628" w:rsidRPr="001A1CA7" w:rsidRDefault="00A75366" w:rsidP="008B1B7D">
      <w:pPr>
        <w:spacing w:after="0" w:line="240" w:lineRule="auto"/>
        <w:jc w:val="right"/>
      </w:pPr>
      <w:r w:rsidRPr="001A1CA7">
        <w:t>Paul Laurence Dunbar High School, John Huston, Teacher</w:t>
      </w:r>
    </w:p>
    <w:p w14:paraId="65472AC1" w14:textId="77777777" w:rsidR="00343B7B" w:rsidRPr="001A1CA7" w:rsidRDefault="00343B7B" w:rsidP="008B1B7D">
      <w:pPr>
        <w:spacing w:after="0" w:line="240" w:lineRule="auto"/>
        <w:jc w:val="right"/>
      </w:pPr>
    </w:p>
    <w:p w14:paraId="76401057" w14:textId="6FECB42F" w:rsidR="00524628" w:rsidRPr="001A1CA7" w:rsidRDefault="00A75366" w:rsidP="008B1B7D">
      <w:pPr>
        <w:spacing w:after="0" w:line="240" w:lineRule="auto"/>
        <w:rPr>
          <w:b/>
        </w:rPr>
      </w:pPr>
      <w:r w:rsidRPr="001A1CA7">
        <w:rPr>
          <w:b/>
        </w:rPr>
        <w:t xml:space="preserve">Potential ecological benefit of Amur Honeysuckle (Lonicera </w:t>
      </w:r>
      <w:proofErr w:type="spellStart"/>
      <w:r w:rsidRPr="001A1CA7">
        <w:rPr>
          <w:b/>
        </w:rPr>
        <w:t>maackii</w:t>
      </w:r>
      <w:proofErr w:type="spellEnd"/>
      <w:r w:rsidRPr="001A1CA7">
        <w:rPr>
          <w:b/>
        </w:rPr>
        <w:t>)</w:t>
      </w:r>
    </w:p>
    <w:p w14:paraId="72B3D2DE" w14:textId="77777777" w:rsidR="001A1CA7" w:rsidRDefault="00A75366" w:rsidP="00A75366">
      <w:pPr>
        <w:spacing w:after="0" w:line="240" w:lineRule="auto"/>
      </w:pPr>
      <w:r w:rsidRPr="001A1CA7">
        <w:t>Amur Honeysuckle is a noxious woody shrub, introduced in southern Ohio in the late 1950’s but is now rampant across the state.  This vigorous, invasive shrub has displaced many native shrubs with its aggressive growth.  Cecropia moth caterpillars (</w:t>
      </w:r>
      <w:proofErr w:type="spellStart"/>
      <w:r w:rsidRPr="001A1CA7">
        <w:t>Hyalophora</w:t>
      </w:r>
      <w:proofErr w:type="spellEnd"/>
      <w:r w:rsidRPr="001A1CA7">
        <w:t xml:space="preserve"> cecropia </w:t>
      </w:r>
      <w:proofErr w:type="spellStart"/>
      <w:r w:rsidRPr="001A1CA7">
        <w:t>linnaeus</w:t>
      </w:r>
      <w:proofErr w:type="spellEnd"/>
      <w:r w:rsidRPr="001A1CA7">
        <w:t>) are often raised on lilac (Syringa vulgaris), a non-native of the same taxonomic class as bush honeysuckle (</w:t>
      </w:r>
      <w:proofErr w:type="spellStart"/>
      <w:r w:rsidRPr="001A1CA7">
        <w:t>Diervilla</w:t>
      </w:r>
      <w:proofErr w:type="spellEnd"/>
      <w:r w:rsidRPr="001A1CA7">
        <w:t xml:space="preserve"> spp., Taxonomic class </w:t>
      </w:r>
      <w:proofErr w:type="spellStart"/>
      <w:r w:rsidRPr="001A1CA7">
        <w:t>Magnoliatae</w:t>
      </w:r>
      <w:proofErr w:type="spellEnd"/>
      <w:r w:rsidRPr="001A1CA7">
        <w:t>).  Can cecropia moth caterpillars (</w:t>
      </w:r>
      <w:proofErr w:type="spellStart"/>
      <w:r w:rsidRPr="001A1CA7">
        <w:t>Hyalophora</w:t>
      </w:r>
      <w:proofErr w:type="spellEnd"/>
      <w:r w:rsidRPr="001A1CA7">
        <w:t xml:space="preserve"> cecropia </w:t>
      </w:r>
      <w:proofErr w:type="spellStart"/>
      <w:r w:rsidRPr="001A1CA7">
        <w:t>linnaeus</w:t>
      </w:r>
      <w:proofErr w:type="spellEnd"/>
      <w:r w:rsidRPr="001A1CA7">
        <w:t xml:space="preserve">) complete a life cycle stage with bush honeysuckle as a host plant?  A captive cecropia female that mated with a wild male produced larvae that were placed on bush honeysuckle locations under protection from predators to see if pupation would occur.  Locations were selected daily as larvae emerged over a </w:t>
      </w:r>
      <w:proofErr w:type="gramStart"/>
      <w:r w:rsidRPr="001A1CA7">
        <w:t>three day</w:t>
      </w:r>
      <w:proofErr w:type="gramEnd"/>
      <w:r w:rsidRPr="001A1CA7">
        <w:t xml:space="preserve"> period (day 1 = 50 larvae, day 2 = 20 larvae, day 3 = 15 larvae).  Pupation rate by location was 30%, 50%, and 27% respectively.  Cecropia moth larvae can complete a life cycle stage 1 utilizing the </w:t>
      </w:r>
      <w:r w:rsidR="001A1CA7">
        <w:t xml:space="preserve">   </w:t>
      </w:r>
    </w:p>
    <w:p w14:paraId="546E5FA2" w14:textId="77777777" w:rsidR="001A1CA7" w:rsidRDefault="001A1CA7" w:rsidP="00A75366">
      <w:pPr>
        <w:spacing w:after="0" w:line="240" w:lineRule="auto"/>
      </w:pPr>
    </w:p>
    <w:p w14:paraId="2490F38F" w14:textId="77777777" w:rsidR="001A1CA7" w:rsidRDefault="001A1CA7" w:rsidP="00A75366">
      <w:pPr>
        <w:spacing w:after="0" w:line="240" w:lineRule="auto"/>
      </w:pPr>
    </w:p>
    <w:p w14:paraId="0EDB210C" w14:textId="77777777" w:rsidR="001A1CA7" w:rsidRDefault="001A1CA7" w:rsidP="00A75366">
      <w:pPr>
        <w:spacing w:after="0" w:line="240" w:lineRule="auto"/>
      </w:pPr>
    </w:p>
    <w:p w14:paraId="12BFDED5" w14:textId="67DC70AA" w:rsidR="007A488B" w:rsidRPr="001A1CA7" w:rsidRDefault="00A75366" w:rsidP="00A75366">
      <w:pPr>
        <w:spacing w:after="0" w:line="240" w:lineRule="auto"/>
      </w:pPr>
      <w:r w:rsidRPr="001A1CA7">
        <w:t>invasive species bush honeysuckle as a host plant while protected from predators by a mosquito net.  This identifies the opportunity for the invasive species Amur Honeysuckle to become a contributing part of the ecosystem.</w:t>
      </w:r>
    </w:p>
    <w:p w14:paraId="3AFD918A" w14:textId="078F836F" w:rsidR="007C3C5C" w:rsidRDefault="007C3C5C" w:rsidP="00A75366">
      <w:pPr>
        <w:spacing w:after="0" w:line="240" w:lineRule="auto"/>
      </w:pPr>
    </w:p>
    <w:p w14:paraId="27B1E409" w14:textId="6E85F546" w:rsidR="001A1CA7" w:rsidRDefault="001A1CA7" w:rsidP="00A75366">
      <w:pPr>
        <w:spacing w:after="0" w:line="240" w:lineRule="auto"/>
      </w:pPr>
    </w:p>
    <w:p w14:paraId="241F6DA0" w14:textId="77777777" w:rsidR="001A1CA7" w:rsidRPr="001A1CA7" w:rsidRDefault="001A1CA7" w:rsidP="00A75366">
      <w:pPr>
        <w:spacing w:after="0" w:line="240" w:lineRule="auto"/>
      </w:pPr>
    </w:p>
    <w:p w14:paraId="6FACB2FF" w14:textId="32636868" w:rsidR="007C3C5C" w:rsidRPr="001A1CA7" w:rsidRDefault="007C3C5C" w:rsidP="007C3C5C">
      <w:pPr>
        <w:pBdr>
          <w:bottom w:val="single" w:sz="4" w:space="1" w:color="auto"/>
        </w:pBdr>
        <w:spacing w:after="0" w:line="240" w:lineRule="auto"/>
        <w:rPr>
          <w:b/>
          <w:sz w:val="24"/>
          <w:szCs w:val="24"/>
        </w:rPr>
      </w:pPr>
      <w:bookmarkStart w:id="0" w:name="_Hlk99456670"/>
      <w:r w:rsidRPr="001A1CA7">
        <w:rPr>
          <w:b/>
          <w:noProof/>
          <w:sz w:val="24"/>
          <w:szCs w:val="24"/>
        </w:rPr>
        <w:drawing>
          <wp:anchor distT="0" distB="0" distL="114300" distR="114300" simplePos="0" relativeHeight="251660288" behindDoc="1" locked="0" layoutInCell="1" allowOverlap="1" wp14:anchorId="0F18D488" wp14:editId="469E30A2">
            <wp:simplePos x="0" y="0"/>
            <wp:positionH relativeFrom="margin">
              <wp:align>right</wp:align>
            </wp:positionH>
            <wp:positionV relativeFrom="paragraph">
              <wp:posOffset>3810</wp:posOffset>
            </wp:positionV>
            <wp:extent cx="832485" cy="541020"/>
            <wp:effectExtent l="0" t="0" r="5715" b="0"/>
            <wp:wrapTight wrapText="bothSides">
              <wp:wrapPolygon edited="0">
                <wp:start x="5437" y="0"/>
                <wp:lineTo x="0" y="3803"/>
                <wp:lineTo x="0" y="17493"/>
                <wp:lineTo x="5931" y="20535"/>
                <wp:lineTo x="15323" y="20535"/>
                <wp:lineTo x="21254" y="17493"/>
                <wp:lineTo x="21254" y="2282"/>
                <wp:lineTo x="15323" y="0"/>
                <wp:lineTo x="543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cslogo.png"/>
                    <pic:cNvPicPr/>
                  </pic:nvPicPr>
                  <pic:blipFill>
                    <a:blip r:embed="rId6">
                      <a:extLst>
                        <a:ext uri="{28A0092B-C50C-407E-A947-70E740481C1C}">
                          <a14:useLocalDpi xmlns:a14="http://schemas.microsoft.com/office/drawing/2010/main" val="0"/>
                        </a:ext>
                      </a:extLst>
                    </a:blip>
                    <a:stretch>
                      <a:fillRect/>
                    </a:stretch>
                  </pic:blipFill>
                  <pic:spPr>
                    <a:xfrm>
                      <a:off x="0" y="0"/>
                      <a:ext cx="832485" cy="541020"/>
                    </a:xfrm>
                    <a:prstGeom prst="rect">
                      <a:avLst/>
                    </a:prstGeom>
                  </pic:spPr>
                </pic:pic>
              </a:graphicData>
            </a:graphic>
            <wp14:sizeRelH relativeFrom="page">
              <wp14:pctWidth>0</wp14:pctWidth>
            </wp14:sizeRelH>
            <wp14:sizeRelV relativeFrom="page">
              <wp14:pctHeight>0</wp14:pctHeight>
            </wp14:sizeRelV>
          </wp:anchor>
        </w:drawing>
      </w:r>
      <w:r w:rsidRPr="001A1CA7">
        <w:rPr>
          <w:b/>
          <w:noProof/>
          <w:sz w:val="24"/>
          <w:szCs w:val="24"/>
        </w:rPr>
        <w:t>Hannah Daniel, Elizabeth Dorsey, Adeline Kendle, Cambri Mushrush</w:t>
      </w:r>
    </w:p>
    <w:p w14:paraId="4F5BC81D" w14:textId="77777777" w:rsidR="007C3C5C" w:rsidRPr="001A1CA7" w:rsidRDefault="007C3C5C" w:rsidP="007C3C5C">
      <w:pPr>
        <w:spacing w:after="0" w:line="240" w:lineRule="auto"/>
        <w:jc w:val="right"/>
      </w:pPr>
      <w:r w:rsidRPr="001A1CA7">
        <w:t>New Philadelphia High School, Kip Brady, Teacher</w:t>
      </w:r>
    </w:p>
    <w:bookmarkEnd w:id="0"/>
    <w:p w14:paraId="48473AEF" w14:textId="3058C031" w:rsidR="007C3C5C" w:rsidRPr="001A1CA7" w:rsidRDefault="007C3C5C" w:rsidP="00A75366">
      <w:pPr>
        <w:spacing w:after="0" w:line="240" w:lineRule="auto"/>
      </w:pPr>
    </w:p>
    <w:p w14:paraId="57D1DB76" w14:textId="18B09B6A" w:rsidR="007C3C5C" w:rsidRPr="001A1CA7" w:rsidRDefault="007C3C5C" w:rsidP="00A75366">
      <w:pPr>
        <w:spacing w:after="0" w:line="240" w:lineRule="auto"/>
        <w:rPr>
          <w:b/>
          <w:bCs/>
        </w:rPr>
      </w:pPr>
      <w:r w:rsidRPr="001A1CA7">
        <w:rPr>
          <w:b/>
          <w:bCs/>
        </w:rPr>
        <w:t>The New Philadelphia City Schools Tick Project</w:t>
      </w:r>
    </w:p>
    <w:p w14:paraId="1FFD73B2" w14:textId="77777777" w:rsidR="007C3C5C" w:rsidRPr="001A1CA7" w:rsidRDefault="007C3C5C" w:rsidP="007C3C5C">
      <w:pPr>
        <w:spacing w:after="0" w:line="240" w:lineRule="auto"/>
      </w:pPr>
      <w:r w:rsidRPr="001A1CA7">
        <w:t>The Blacklegged (Deer) Tick (Ixodes scapularis) has experienced a dramatic geographic range expansion</w:t>
      </w:r>
    </w:p>
    <w:p w14:paraId="594C3992" w14:textId="77777777" w:rsidR="007C3C5C" w:rsidRPr="001A1CA7" w:rsidRDefault="007C3C5C" w:rsidP="007C3C5C">
      <w:pPr>
        <w:spacing w:after="0" w:line="240" w:lineRule="auto"/>
      </w:pPr>
      <w:r w:rsidRPr="001A1CA7">
        <w:t>across eastern North America over the past decade. The first Ohio population of I. scapularis was</w:t>
      </w:r>
    </w:p>
    <w:p w14:paraId="5C4981EF" w14:textId="77777777" w:rsidR="007C3C5C" w:rsidRPr="001A1CA7" w:rsidRDefault="007C3C5C" w:rsidP="007C3C5C">
      <w:pPr>
        <w:spacing w:after="0" w:line="240" w:lineRule="auto"/>
      </w:pPr>
      <w:r w:rsidRPr="001A1CA7">
        <w:t>identified in Coshocton County in 2010, and today the species occurs in all of Ohio's 88 counties. In</w:t>
      </w:r>
    </w:p>
    <w:p w14:paraId="0B0A9D3F" w14:textId="77777777" w:rsidR="007C3C5C" w:rsidRPr="001A1CA7" w:rsidRDefault="007C3C5C" w:rsidP="007C3C5C">
      <w:pPr>
        <w:spacing w:after="0" w:line="240" w:lineRule="auto"/>
      </w:pPr>
      <w:r w:rsidRPr="001A1CA7">
        <w:t>eastern North America, I. scapularis is the only known vector for Borrelia burgdorferi, the etiologic agent</w:t>
      </w:r>
    </w:p>
    <w:p w14:paraId="313F312F" w14:textId="77777777" w:rsidR="007C3C5C" w:rsidRPr="001A1CA7" w:rsidRDefault="007C3C5C" w:rsidP="007C3C5C">
      <w:pPr>
        <w:spacing w:after="0" w:line="240" w:lineRule="auto"/>
      </w:pPr>
      <w:r w:rsidRPr="001A1CA7">
        <w:t>of Lyme Disease, so understanding the ecological factors contributing to I. scapularis abundance and</w:t>
      </w:r>
    </w:p>
    <w:p w14:paraId="604EB3DC" w14:textId="77777777" w:rsidR="007C3C5C" w:rsidRPr="001A1CA7" w:rsidRDefault="007C3C5C" w:rsidP="007C3C5C">
      <w:pPr>
        <w:spacing w:after="0" w:line="240" w:lineRule="auto"/>
      </w:pPr>
      <w:r w:rsidRPr="001A1CA7">
        <w:t>Borrelia burgdorferi prevalence have important implications for human and ecosystem health. The New</w:t>
      </w:r>
    </w:p>
    <w:p w14:paraId="4656EC51" w14:textId="77777777" w:rsidR="007C3C5C" w:rsidRPr="001A1CA7" w:rsidRDefault="007C3C5C" w:rsidP="007C3C5C">
      <w:pPr>
        <w:spacing w:after="0" w:line="240" w:lineRule="auto"/>
      </w:pPr>
      <w:r w:rsidRPr="001A1CA7">
        <w:t>Philadelphia City Schools has recently developed a project to map Borrelia burgdorferi prevalence within</w:t>
      </w:r>
    </w:p>
    <w:p w14:paraId="0FB4C0C3" w14:textId="77777777" w:rsidR="007C3C5C" w:rsidRPr="001A1CA7" w:rsidRDefault="007C3C5C" w:rsidP="007C3C5C">
      <w:pPr>
        <w:spacing w:after="0" w:line="240" w:lineRule="auto"/>
      </w:pPr>
      <w:r w:rsidRPr="001A1CA7">
        <w:t>I. scapularis populations in Tuscarawas County, Ohio. Our preliminary data include the results from 153</w:t>
      </w:r>
    </w:p>
    <w:p w14:paraId="2453AA72" w14:textId="77777777" w:rsidR="007C3C5C" w:rsidRPr="001A1CA7" w:rsidRDefault="007C3C5C" w:rsidP="007C3C5C">
      <w:pPr>
        <w:spacing w:after="0" w:line="240" w:lineRule="auto"/>
      </w:pPr>
      <w:r w:rsidRPr="001A1CA7">
        <w:t>adult I. scapularis individuals obtained from 13 different locations. Overall, 73 of the 153 ticks (48%)</w:t>
      </w:r>
    </w:p>
    <w:p w14:paraId="38BE9455" w14:textId="77777777" w:rsidR="007C3C5C" w:rsidRPr="001A1CA7" w:rsidRDefault="007C3C5C" w:rsidP="007C3C5C">
      <w:pPr>
        <w:spacing w:after="0" w:line="240" w:lineRule="auto"/>
      </w:pPr>
      <w:r w:rsidRPr="001A1CA7">
        <w:t xml:space="preserve">have tested positive for Borrelia burgdorferi </w:t>
      </w:r>
      <w:proofErr w:type="spellStart"/>
      <w:r w:rsidRPr="001A1CA7">
        <w:t>sensu</w:t>
      </w:r>
      <w:proofErr w:type="spellEnd"/>
      <w:r w:rsidRPr="001A1CA7">
        <w:t xml:space="preserve"> </w:t>
      </w:r>
      <w:proofErr w:type="spellStart"/>
      <w:r w:rsidRPr="001A1CA7">
        <w:t>lato</w:t>
      </w:r>
      <w:proofErr w:type="spellEnd"/>
      <w:r w:rsidRPr="001A1CA7">
        <w:t>. Prevalence across the 13 sampling locations</w:t>
      </w:r>
    </w:p>
    <w:p w14:paraId="024D4E36" w14:textId="77777777" w:rsidR="007C3C5C" w:rsidRPr="001A1CA7" w:rsidRDefault="007C3C5C" w:rsidP="007C3C5C">
      <w:pPr>
        <w:spacing w:after="0" w:line="240" w:lineRule="auto"/>
      </w:pPr>
      <w:r w:rsidRPr="001A1CA7">
        <w:t>ranged from 9% to 73%, suggesting that prevalence may be affected by habitat variation across sites.</w:t>
      </w:r>
    </w:p>
    <w:p w14:paraId="6ABE0C1C" w14:textId="77777777" w:rsidR="007C3C5C" w:rsidRPr="001A1CA7" w:rsidRDefault="007C3C5C" w:rsidP="007C3C5C">
      <w:pPr>
        <w:spacing w:after="0" w:line="240" w:lineRule="auto"/>
      </w:pPr>
      <w:r w:rsidRPr="001A1CA7">
        <w:t>These data indicate that populations of I. scapularis in Tuscarawas County have Borrelia burgdorferi</w:t>
      </w:r>
    </w:p>
    <w:p w14:paraId="4A46F70A" w14:textId="230F1E61" w:rsidR="007C3C5C" w:rsidRPr="001A1CA7" w:rsidRDefault="007C3C5C" w:rsidP="007C3C5C">
      <w:pPr>
        <w:spacing w:after="0" w:line="240" w:lineRule="auto"/>
      </w:pPr>
      <w:r w:rsidRPr="001A1CA7">
        <w:t xml:space="preserve">prevalence rates </w:t>
      </w:r>
      <w:proofErr w:type="gramStart"/>
      <w:r w:rsidRPr="001A1CA7">
        <w:t>similar to</w:t>
      </w:r>
      <w:proofErr w:type="gramEnd"/>
      <w:r w:rsidRPr="001A1CA7">
        <w:t xml:space="preserve"> those in regions where Lyme Disease is considered endemic.</w:t>
      </w:r>
    </w:p>
    <w:p w14:paraId="160D2BDC" w14:textId="309426BD" w:rsidR="001A1CA7" w:rsidRDefault="001A1CA7" w:rsidP="007C3C5C">
      <w:pPr>
        <w:spacing w:after="0" w:line="240" w:lineRule="auto"/>
      </w:pPr>
    </w:p>
    <w:p w14:paraId="3E9EE632" w14:textId="3CB3394D" w:rsidR="001A1CA7" w:rsidRDefault="001A1CA7" w:rsidP="007C3C5C">
      <w:pPr>
        <w:spacing w:after="0" w:line="240" w:lineRule="auto"/>
      </w:pPr>
    </w:p>
    <w:p w14:paraId="42AA13F1" w14:textId="77777777" w:rsidR="001A1CA7" w:rsidRPr="001A1CA7" w:rsidRDefault="001A1CA7" w:rsidP="007C3C5C">
      <w:pPr>
        <w:spacing w:after="0" w:line="240" w:lineRule="auto"/>
      </w:pPr>
    </w:p>
    <w:p w14:paraId="2BD0ED73" w14:textId="768461F2" w:rsidR="001A1CA7" w:rsidRPr="001A1CA7" w:rsidRDefault="001A1CA7" w:rsidP="001A1CA7">
      <w:pPr>
        <w:pBdr>
          <w:bottom w:val="single" w:sz="4" w:space="1" w:color="auto"/>
        </w:pBdr>
        <w:spacing w:after="0" w:line="240" w:lineRule="auto"/>
        <w:rPr>
          <w:b/>
          <w:sz w:val="24"/>
          <w:szCs w:val="24"/>
        </w:rPr>
      </w:pPr>
      <w:r w:rsidRPr="001A1CA7">
        <w:rPr>
          <w:b/>
          <w:noProof/>
          <w:sz w:val="24"/>
          <w:szCs w:val="24"/>
        </w:rPr>
        <w:drawing>
          <wp:anchor distT="0" distB="0" distL="114300" distR="114300" simplePos="0" relativeHeight="251661312" behindDoc="1" locked="0" layoutInCell="1" allowOverlap="1" wp14:anchorId="748F13C8" wp14:editId="4FAE83AA">
            <wp:simplePos x="0" y="0"/>
            <wp:positionH relativeFrom="margin">
              <wp:align>right</wp:align>
            </wp:positionH>
            <wp:positionV relativeFrom="paragraph">
              <wp:posOffset>4445</wp:posOffset>
            </wp:positionV>
            <wp:extent cx="524510" cy="524510"/>
            <wp:effectExtent l="0" t="0" r="8890" b="8890"/>
            <wp:wrapTight wrapText="bothSides">
              <wp:wrapPolygon edited="0">
                <wp:start x="0" y="0"/>
                <wp:lineTo x="0" y="21182"/>
                <wp:lineTo x="21182" y="21182"/>
                <wp:lineTo x="2118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pic:spPr>
                </pic:pic>
              </a:graphicData>
            </a:graphic>
          </wp:anchor>
        </w:drawing>
      </w:r>
      <w:r w:rsidRPr="001A1CA7">
        <w:rPr>
          <w:b/>
          <w:noProof/>
          <w:sz w:val="24"/>
          <w:szCs w:val="24"/>
        </w:rPr>
        <w:t>Jacob Widanski</w:t>
      </w:r>
    </w:p>
    <w:p w14:paraId="09321D76" w14:textId="6725D0ED" w:rsidR="001A1CA7" w:rsidRPr="001A1CA7" w:rsidRDefault="001A1CA7" w:rsidP="001A1CA7">
      <w:pPr>
        <w:spacing w:after="0" w:line="240" w:lineRule="auto"/>
        <w:jc w:val="right"/>
      </w:pPr>
      <w:r w:rsidRPr="001A1CA7">
        <w:t>West Clermont High School, Jon Souders, Teacher</w:t>
      </w:r>
    </w:p>
    <w:p w14:paraId="01F609E6" w14:textId="25078047" w:rsidR="001A1CA7" w:rsidRPr="001A1CA7" w:rsidRDefault="001A1CA7" w:rsidP="007C3C5C">
      <w:pPr>
        <w:spacing w:after="0" w:line="240" w:lineRule="auto"/>
        <w:rPr>
          <w:b/>
          <w:bCs/>
          <w:sz w:val="24"/>
          <w:szCs w:val="24"/>
        </w:rPr>
      </w:pPr>
    </w:p>
    <w:p w14:paraId="7B0566A1" w14:textId="77777777" w:rsidR="001A1CA7" w:rsidRPr="00287C5A" w:rsidRDefault="001A1CA7" w:rsidP="001A1CA7">
      <w:pPr>
        <w:spacing w:after="0" w:line="240" w:lineRule="auto"/>
        <w:rPr>
          <w:b/>
          <w:bCs/>
        </w:rPr>
      </w:pPr>
      <w:r w:rsidRPr="00287C5A">
        <w:rPr>
          <w:b/>
          <w:bCs/>
        </w:rPr>
        <w:t xml:space="preserve">Characteristics of seasonal Eastern box turtle (Terrapene </w:t>
      </w:r>
      <w:proofErr w:type="spellStart"/>
      <w:r w:rsidRPr="00287C5A">
        <w:rPr>
          <w:b/>
          <w:bCs/>
        </w:rPr>
        <w:t>carolina</w:t>
      </w:r>
      <w:proofErr w:type="spellEnd"/>
      <w:r w:rsidRPr="00287C5A">
        <w:rPr>
          <w:b/>
          <w:bCs/>
        </w:rPr>
        <w:t xml:space="preserve"> </w:t>
      </w:r>
      <w:proofErr w:type="spellStart"/>
      <w:r w:rsidRPr="00287C5A">
        <w:rPr>
          <w:b/>
          <w:bCs/>
        </w:rPr>
        <w:t>carolina</w:t>
      </w:r>
      <w:proofErr w:type="spellEnd"/>
      <w:r w:rsidRPr="00287C5A">
        <w:rPr>
          <w:b/>
          <w:bCs/>
        </w:rPr>
        <w:t>) migration into prairie habitat</w:t>
      </w:r>
    </w:p>
    <w:p w14:paraId="193F2E78" w14:textId="77777777" w:rsidR="001A1CA7" w:rsidRPr="001A1CA7" w:rsidRDefault="001A1CA7" w:rsidP="001A1CA7">
      <w:pPr>
        <w:spacing w:after="0" w:line="240" w:lineRule="auto"/>
      </w:pPr>
      <w:r w:rsidRPr="001A1CA7">
        <w:t xml:space="preserve">Eastern box turtles (Terrapene </w:t>
      </w:r>
      <w:proofErr w:type="spellStart"/>
      <w:r w:rsidRPr="001A1CA7">
        <w:t>carolina</w:t>
      </w:r>
      <w:proofErr w:type="spellEnd"/>
      <w:r w:rsidRPr="001A1CA7">
        <w:t xml:space="preserve"> </w:t>
      </w:r>
      <w:proofErr w:type="spellStart"/>
      <w:r w:rsidRPr="001A1CA7">
        <w:t>carolina</w:t>
      </w:r>
      <w:proofErr w:type="spellEnd"/>
      <w:r w:rsidRPr="001A1CA7">
        <w:t xml:space="preserve">) are a relatively common subspecies of box turtles found across much of the eastern United States, including southwestern Ohio. For over 17 years, high school students from West Clermont LSD have utilized radio telemetry to track the weekly movement of turtles at Rowe Woods in western Clermont County and collect data on their surrounding environment. Combining these 2,215 observations with meteorological data from </w:t>
      </w:r>
      <w:proofErr w:type="spellStart"/>
      <w:r w:rsidRPr="001A1CA7">
        <w:t>Lunken</w:t>
      </w:r>
      <w:proofErr w:type="spellEnd"/>
      <w:r w:rsidRPr="001A1CA7">
        <w:t xml:space="preserve"> Airport’s ASOS weather station, I analyzed the habitat selection of Eastern box turtles using R and QGIS. Movement of turtles into prairie habitat was observed from late spring into summer between May and September when weekly mean external air temperatures exceeded 10 C (50 F), with an average of 21.54 C (70.78 F) from 215 observations. Meanwhile, in all other vegetation types, turtles were observed with a mean weekly air temperature of 18.57 C (65.42 F). Turtles were found in the prairie even when ambient temperatures at the time of observation exceeded 32 C (90 F). 9.7% of all observations were in the prairie, including 22% in May, despite accounting for only 4.2% of total turtle home range size using a 90% kernel density estimate. It would be expected that turtles occupy shaded habitats such as dense forests, which regulate external temperatures from extremes relative to open habitats, during warmer summer temperatures since Eastern box turtles are ectotherms and </w:t>
      </w:r>
      <w:proofErr w:type="spellStart"/>
      <w:r w:rsidRPr="001A1CA7">
        <w:t>thermoconformers</w:t>
      </w:r>
      <w:proofErr w:type="spellEnd"/>
      <w:r w:rsidRPr="001A1CA7">
        <w:t xml:space="preserve">. This finding provides insights into the seasonal shift in habitat utilization of Eastern box turtles and lays ground for future work investigating the factors influencing habitat selection. </w:t>
      </w:r>
    </w:p>
    <w:p w14:paraId="651C81EE" w14:textId="09A3D91D" w:rsidR="001A1CA7" w:rsidRPr="007C3C5C" w:rsidRDefault="001A1CA7" w:rsidP="001A1CA7">
      <w:pPr>
        <w:spacing w:after="0" w:line="240" w:lineRule="auto"/>
        <w:rPr>
          <w:sz w:val="24"/>
          <w:szCs w:val="24"/>
        </w:rPr>
      </w:pPr>
    </w:p>
    <w:sectPr w:rsidR="001A1CA7" w:rsidRPr="007C3C5C" w:rsidSect="00030F02">
      <w:headerReference w:type="default" r:id="rId9"/>
      <w:pgSz w:w="12240" w:h="15840"/>
      <w:pgMar w:top="720" w:right="720" w:bottom="720" w:left="720" w:header="720" w:footer="720" w:gutter="0"/>
      <w:pgBorders w:offsetFrom="page">
        <w:bottom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1EAAF" w14:textId="77777777" w:rsidR="00AE79A3" w:rsidRDefault="00AE79A3" w:rsidP="00815FF0">
      <w:pPr>
        <w:spacing w:after="0" w:line="240" w:lineRule="auto"/>
      </w:pPr>
      <w:r>
        <w:separator/>
      </w:r>
    </w:p>
  </w:endnote>
  <w:endnote w:type="continuationSeparator" w:id="0">
    <w:p w14:paraId="110B0AC4" w14:textId="77777777" w:rsidR="00AE79A3" w:rsidRDefault="00AE79A3" w:rsidP="00815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B0569" w14:textId="77777777" w:rsidR="00AE79A3" w:rsidRDefault="00AE79A3" w:rsidP="00815FF0">
      <w:pPr>
        <w:spacing w:after="0" w:line="240" w:lineRule="auto"/>
      </w:pPr>
      <w:r>
        <w:separator/>
      </w:r>
    </w:p>
  </w:footnote>
  <w:footnote w:type="continuationSeparator" w:id="0">
    <w:p w14:paraId="13671B76" w14:textId="77777777" w:rsidR="00AE79A3" w:rsidRDefault="00AE79A3" w:rsidP="00815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E252" w14:textId="07BF30A3" w:rsidR="00BE12E7" w:rsidRPr="00C8287D" w:rsidRDefault="00C8287D" w:rsidP="00C8287D">
    <w:pPr>
      <w:pStyle w:val="Header"/>
      <w:jc w:val="center"/>
      <w:rPr>
        <w:rFonts w:ascii="Arial Black" w:hAnsi="Arial Black"/>
        <w:b/>
        <w:color w:val="000000" w:themeColor="text1"/>
        <w:sz w:val="32"/>
        <w:szCs w:val="32"/>
      </w:rPr>
    </w:pPr>
    <w:r w:rsidRPr="00C8287D">
      <w:rPr>
        <w:noProof/>
        <w:sz w:val="16"/>
        <w:szCs w:val="20"/>
      </w:rPr>
      <w:drawing>
        <wp:anchor distT="0" distB="0" distL="114300" distR="114300" simplePos="0" relativeHeight="251661312" behindDoc="1" locked="0" layoutInCell="1" allowOverlap="1" wp14:anchorId="0F70B401" wp14:editId="71B64F25">
          <wp:simplePos x="0" y="0"/>
          <wp:positionH relativeFrom="margin">
            <wp:posOffset>5854700</wp:posOffset>
          </wp:positionH>
          <wp:positionV relativeFrom="paragraph">
            <wp:posOffset>0</wp:posOffset>
          </wp:positionV>
          <wp:extent cx="989965" cy="693420"/>
          <wp:effectExtent l="0" t="0" r="635" b="0"/>
          <wp:wrapTight wrapText="bothSides">
            <wp:wrapPolygon edited="0">
              <wp:start x="0" y="0"/>
              <wp:lineTo x="0" y="20769"/>
              <wp:lineTo x="21198" y="20769"/>
              <wp:lineTo x="211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ECO logo.jpg"/>
                  <pic:cNvPicPr/>
                </pic:nvPicPr>
                <pic:blipFill>
                  <a:blip r:embed="rId1">
                    <a:extLst>
                      <a:ext uri="{28A0092B-C50C-407E-A947-70E740481C1C}">
                        <a14:useLocalDpi xmlns:a14="http://schemas.microsoft.com/office/drawing/2010/main" val="0"/>
                      </a:ext>
                    </a:extLst>
                  </a:blip>
                  <a:stretch>
                    <a:fillRect/>
                  </a:stretch>
                </pic:blipFill>
                <pic:spPr>
                  <a:xfrm>
                    <a:off x="0" y="0"/>
                    <a:ext cx="989965" cy="693420"/>
                  </a:xfrm>
                  <a:prstGeom prst="rect">
                    <a:avLst/>
                  </a:prstGeom>
                </pic:spPr>
              </pic:pic>
            </a:graphicData>
          </a:graphic>
          <wp14:sizeRelH relativeFrom="margin">
            <wp14:pctWidth>0</wp14:pctWidth>
          </wp14:sizeRelH>
          <wp14:sizeRelV relativeFrom="margin">
            <wp14:pctHeight>0</wp14:pctHeight>
          </wp14:sizeRelV>
        </wp:anchor>
      </w:drawing>
    </w:r>
    <w:r w:rsidRPr="00C8287D">
      <w:rPr>
        <w:b/>
        <w:noProof/>
        <w:szCs w:val="28"/>
      </w:rPr>
      <w:drawing>
        <wp:anchor distT="0" distB="0" distL="114300" distR="114300" simplePos="0" relativeHeight="251659264" behindDoc="1" locked="0" layoutInCell="1" allowOverlap="1" wp14:anchorId="7A0734E6" wp14:editId="01856281">
          <wp:simplePos x="0" y="0"/>
          <wp:positionH relativeFrom="margin">
            <wp:align>left</wp:align>
          </wp:positionH>
          <wp:positionV relativeFrom="paragraph">
            <wp:posOffset>0</wp:posOffset>
          </wp:positionV>
          <wp:extent cx="639445" cy="800100"/>
          <wp:effectExtent l="0" t="0" r="8255" b="0"/>
          <wp:wrapTight wrapText="bothSides">
            <wp:wrapPolygon edited="0">
              <wp:start x="5148" y="0"/>
              <wp:lineTo x="0" y="2057"/>
              <wp:lineTo x="0" y="17486"/>
              <wp:lineTo x="4504" y="21086"/>
              <wp:lineTo x="5791" y="21086"/>
              <wp:lineTo x="15444" y="21086"/>
              <wp:lineTo x="16731" y="21086"/>
              <wp:lineTo x="21235" y="17486"/>
              <wp:lineTo x="21235" y="2057"/>
              <wp:lineTo x="16087" y="0"/>
              <wp:lineTo x="514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v-Logo-Color.gif"/>
                  <pic:cNvPicPr/>
                </pic:nvPicPr>
                <pic:blipFill>
                  <a:blip r:embed="rId2">
                    <a:extLst>
                      <a:ext uri="{28A0092B-C50C-407E-A947-70E740481C1C}">
                        <a14:useLocalDpi xmlns:a14="http://schemas.microsoft.com/office/drawing/2010/main" val="0"/>
                      </a:ext>
                    </a:extLst>
                  </a:blip>
                  <a:stretch>
                    <a:fillRect/>
                  </a:stretch>
                </pic:blipFill>
                <pic:spPr>
                  <a:xfrm>
                    <a:off x="0" y="0"/>
                    <a:ext cx="639445" cy="800100"/>
                  </a:xfrm>
                  <a:prstGeom prst="rect">
                    <a:avLst/>
                  </a:prstGeom>
                </pic:spPr>
              </pic:pic>
            </a:graphicData>
          </a:graphic>
          <wp14:sizeRelH relativeFrom="margin">
            <wp14:pctWidth>0</wp14:pctWidth>
          </wp14:sizeRelH>
          <wp14:sizeRelV relativeFrom="margin">
            <wp14:pctHeight>0</wp14:pctHeight>
          </wp14:sizeRelV>
        </wp:anchor>
      </w:drawing>
    </w:r>
    <w:r w:rsidR="00BE12E7" w:rsidRPr="00C8287D">
      <w:rPr>
        <w:rFonts w:ascii="Arial Black" w:hAnsi="Arial Black"/>
        <w:b/>
        <w:color w:val="000000" w:themeColor="text1"/>
        <w:sz w:val="32"/>
        <w:szCs w:val="32"/>
      </w:rPr>
      <w:t>20</w:t>
    </w:r>
    <w:r w:rsidR="00007B81">
      <w:rPr>
        <w:rFonts w:ascii="Arial Black" w:hAnsi="Arial Black"/>
        <w:b/>
        <w:color w:val="000000" w:themeColor="text1"/>
        <w:sz w:val="32"/>
        <w:szCs w:val="32"/>
      </w:rPr>
      <w:t>22</w:t>
    </w:r>
    <w:r w:rsidR="00BE12E7" w:rsidRPr="00C8287D">
      <w:rPr>
        <w:rFonts w:ascii="Arial Black" w:hAnsi="Arial Black"/>
        <w:b/>
        <w:color w:val="000000" w:themeColor="text1"/>
        <w:sz w:val="32"/>
        <w:szCs w:val="32"/>
      </w:rPr>
      <w:t xml:space="preserve"> Student Wildlife Research Symposium</w:t>
    </w:r>
  </w:p>
  <w:p w14:paraId="021521FC" w14:textId="77777777" w:rsidR="00815FF0" w:rsidRPr="00C8287D" w:rsidRDefault="00815FF0" w:rsidP="00C8287D">
    <w:pPr>
      <w:pStyle w:val="Header"/>
      <w:jc w:val="center"/>
      <w:rPr>
        <w:rFonts w:ascii="Arial Black" w:hAnsi="Arial Black"/>
        <w:b/>
        <w:sz w:val="32"/>
        <w:szCs w:val="32"/>
      </w:rPr>
    </w:pPr>
    <w:r w:rsidRPr="00C8287D">
      <w:rPr>
        <w:rFonts w:ascii="Arial Black" w:hAnsi="Arial Black"/>
        <w:b/>
        <w:color w:val="000000" w:themeColor="text1"/>
        <w:sz w:val="32"/>
        <w:szCs w:val="32"/>
      </w:rPr>
      <w:t xml:space="preserve">Poster Session </w:t>
    </w:r>
    <w:r w:rsidR="00253AFC" w:rsidRPr="00C8287D">
      <w:rPr>
        <w:rFonts w:ascii="Arial Black" w:hAnsi="Arial Black"/>
        <w:b/>
        <w:color w:val="000000" w:themeColor="text1"/>
        <w:sz w:val="32"/>
        <w:szCs w:val="32"/>
      </w:rPr>
      <w:t>Abstracts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F0"/>
    <w:rsid w:val="00007B81"/>
    <w:rsid w:val="00010F21"/>
    <w:rsid w:val="00030F02"/>
    <w:rsid w:val="000A1417"/>
    <w:rsid w:val="001A1CA7"/>
    <w:rsid w:val="001E400F"/>
    <w:rsid w:val="00253AFC"/>
    <w:rsid w:val="00287C5A"/>
    <w:rsid w:val="002B5DF4"/>
    <w:rsid w:val="00343B7B"/>
    <w:rsid w:val="003B31A1"/>
    <w:rsid w:val="003C44C2"/>
    <w:rsid w:val="004C10EA"/>
    <w:rsid w:val="00524628"/>
    <w:rsid w:val="006766E8"/>
    <w:rsid w:val="00700FEB"/>
    <w:rsid w:val="007409D0"/>
    <w:rsid w:val="00777022"/>
    <w:rsid w:val="007A488B"/>
    <w:rsid w:val="007C3C5C"/>
    <w:rsid w:val="00815FF0"/>
    <w:rsid w:val="008B1B7D"/>
    <w:rsid w:val="008B2E74"/>
    <w:rsid w:val="008C6E03"/>
    <w:rsid w:val="0095698F"/>
    <w:rsid w:val="009B0C5E"/>
    <w:rsid w:val="009F394F"/>
    <w:rsid w:val="00A5396F"/>
    <w:rsid w:val="00A75366"/>
    <w:rsid w:val="00AA0F19"/>
    <w:rsid w:val="00AA514C"/>
    <w:rsid w:val="00AB6028"/>
    <w:rsid w:val="00AB7478"/>
    <w:rsid w:val="00AE79A3"/>
    <w:rsid w:val="00B306F7"/>
    <w:rsid w:val="00BE12E7"/>
    <w:rsid w:val="00C8287D"/>
    <w:rsid w:val="00D82285"/>
    <w:rsid w:val="00D861D9"/>
    <w:rsid w:val="00D876CF"/>
    <w:rsid w:val="00E01CA1"/>
    <w:rsid w:val="00E37AE1"/>
    <w:rsid w:val="00E57110"/>
    <w:rsid w:val="00F06EF5"/>
    <w:rsid w:val="00F842D1"/>
    <w:rsid w:val="00FC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EC3B"/>
  <w15:docId w15:val="{BD92591F-59FC-491B-8EB9-1936EA0B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FF0"/>
  </w:style>
  <w:style w:type="paragraph" w:styleId="Footer">
    <w:name w:val="footer"/>
    <w:basedOn w:val="Normal"/>
    <w:link w:val="FooterChar"/>
    <w:uiPriority w:val="99"/>
    <w:unhideWhenUsed/>
    <w:rsid w:val="00815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FF0"/>
  </w:style>
  <w:style w:type="paragraph" w:styleId="BalloonText">
    <w:name w:val="Balloon Text"/>
    <w:basedOn w:val="Normal"/>
    <w:link w:val="BalloonTextChar"/>
    <w:uiPriority w:val="99"/>
    <w:semiHidden/>
    <w:unhideWhenUsed/>
    <w:rsid w:val="00F06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35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Dennison, Jen</dc:creator>
  <cp:lastModifiedBy>Dennison, Jen</cp:lastModifiedBy>
  <cp:revision>5</cp:revision>
  <cp:lastPrinted>2022-03-29T19:06:00Z</cp:lastPrinted>
  <dcterms:created xsi:type="dcterms:W3CDTF">2022-03-11T19:15:00Z</dcterms:created>
  <dcterms:modified xsi:type="dcterms:W3CDTF">2022-03-29T18:39:00Z</dcterms:modified>
</cp:coreProperties>
</file>